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966" w:rsidRDefault="009C7966" w:rsidP="00B23CA9">
      <w:pPr>
        <w:jc w:val="center"/>
        <w:rPr>
          <w:rFonts w:ascii="Arial" w:hAnsi="Arial" w:cs="Arial"/>
          <w:b/>
        </w:rPr>
      </w:pPr>
      <w:r w:rsidRPr="009C7966">
        <w:rPr>
          <w:rFonts w:ascii="Arial" w:hAnsi="Arial" w:cs="Arial"/>
          <w:b/>
        </w:rPr>
        <w:t>SEGUIMIENTO A LA INTERVENCION DEL RIESGO</w:t>
      </w:r>
    </w:p>
    <w:p w:rsidR="00B712E3" w:rsidRDefault="009C7966" w:rsidP="009C7966">
      <w:pPr>
        <w:rPr>
          <w:rFonts w:ascii="Arial" w:hAnsi="Arial" w:cs="Arial"/>
          <w:sz w:val="16"/>
        </w:rPr>
      </w:pPr>
      <w:r w:rsidRPr="009C7966">
        <w:rPr>
          <w:rFonts w:ascii="Arial" w:hAnsi="Arial" w:cs="Arial"/>
          <w:sz w:val="16"/>
        </w:rPr>
        <w:t>Tabla1</w:t>
      </w:r>
    </w:p>
    <w:p w:rsidR="00B712E3" w:rsidRDefault="00B712E3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B712E3" w:rsidRDefault="00B712E3" w:rsidP="00B712E3">
      <w:pPr>
        <w:jc w:val="center"/>
        <w:rPr>
          <w:rFonts w:ascii="Arial" w:hAnsi="Arial" w:cs="Arial"/>
          <w:b/>
        </w:rPr>
      </w:pPr>
      <w:r w:rsidRPr="00B712E3">
        <w:rPr>
          <w:rFonts w:ascii="Arial" w:hAnsi="Arial" w:cs="Arial"/>
          <w:b/>
        </w:rPr>
        <w:lastRenderedPageBreak/>
        <w:t>CONTINUIDAD DEL NEGOCIO</w:t>
      </w:r>
    </w:p>
    <w:p w:rsidR="00873D69" w:rsidRPr="00873D69" w:rsidRDefault="00873D69" w:rsidP="00873D69">
      <w:pPr>
        <w:jc w:val="both"/>
        <w:rPr>
          <w:rFonts w:ascii="Arial" w:hAnsi="Arial" w:cs="Arial"/>
          <w:sz w:val="20"/>
        </w:rPr>
      </w:pPr>
      <w:r w:rsidRPr="00873D69">
        <w:rPr>
          <w:rFonts w:ascii="Arial" w:hAnsi="Arial" w:cs="Arial"/>
          <w:sz w:val="20"/>
        </w:rPr>
        <w:t xml:space="preserve">A continuación, encontrara una serie de preguntas que se clasifican en tres elementos que se consideran importantes para el desarrollo del Plan de continuidad del negocio como elemento significativo y complementario a la preparación y respuesta ante emergencias; este análisis pretende identificar los procesos críticos de su compañía haciéndolo consciente sobre los recursos y procedimientos necesarios para el sostenimiento de su empresa en caso de un incidente de interrupción. </w:t>
      </w:r>
    </w:p>
    <w:p w:rsidR="00873D69" w:rsidRPr="00873D69" w:rsidRDefault="00873D69" w:rsidP="00873D69">
      <w:pPr>
        <w:jc w:val="both"/>
        <w:rPr>
          <w:rFonts w:ascii="Arial" w:hAnsi="Arial" w:cs="Arial"/>
          <w:sz w:val="20"/>
        </w:rPr>
      </w:pPr>
      <w:r w:rsidRPr="00873D69">
        <w:rPr>
          <w:rFonts w:ascii="Arial" w:hAnsi="Arial" w:cs="Arial"/>
          <w:sz w:val="20"/>
        </w:rPr>
        <w:t>Encontrará al frente de cada pregunta un espacio para que responda según el estado de su empresa con respecto a los parámetros que allí se evalúan, tenga en cuenta al finalizar este análisis de construir o complementar los procedimientos operativos normalizados con el plan de continuidad del negocio bajo los parámetros explicados en el documento de apoyo.</w:t>
      </w:r>
    </w:p>
    <w:p w:rsidR="00873D69" w:rsidRDefault="00873D69" w:rsidP="00B712E3">
      <w:pPr>
        <w:rPr>
          <w:rFonts w:ascii="Arial" w:hAnsi="Arial" w:cs="Arial"/>
          <w:sz w:val="16"/>
        </w:rPr>
      </w:pPr>
    </w:p>
    <w:p w:rsidR="00873D69" w:rsidRDefault="00873D69" w:rsidP="00B712E3">
      <w:pPr>
        <w:rPr>
          <w:rFonts w:ascii="Arial" w:hAnsi="Arial" w:cs="Arial"/>
          <w:sz w:val="16"/>
        </w:rPr>
      </w:pPr>
    </w:p>
    <w:p w:rsidR="00B712E3" w:rsidRDefault="00B712E3" w:rsidP="00B712E3">
      <w:pPr>
        <w:rPr>
          <w:rFonts w:ascii="Arial" w:hAnsi="Arial" w:cs="Arial"/>
          <w:sz w:val="16"/>
        </w:rPr>
      </w:pPr>
      <w:bookmarkStart w:id="0" w:name="_GoBack"/>
      <w:bookmarkEnd w:id="0"/>
      <w:r>
        <w:rPr>
          <w:rFonts w:ascii="Arial" w:hAnsi="Arial" w:cs="Arial"/>
          <w:sz w:val="16"/>
        </w:rPr>
        <w:t>Tabla2</w:t>
      </w:r>
    </w:p>
    <w:p w:rsidR="00B712E3" w:rsidRDefault="00B712E3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B712E3" w:rsidRDefault="00B712E3" w:rsidP="00B712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INDICADORES</w:t>
      </w:r>
    </w:p>
    <w:p w:rsidR="00EB6023" w:rsidRPr="00A84BFF" w:rsidRDefault="00B712E3">
      <w:pPr>
        <w:rPr>
          <w:rFonts w:ascii="Arial" w:hAnsi="Arial" w:cs="Arial"/>
          <w:b/>
        </w:rPr>
        <w:sectPr w:rsidR="00EB6023" w:rsidRPr="00A84BFF" w:rsidSect="00B23CA9">
          <w:pgSz w:w="15840" w:h="12240" w:orient="landscape"/>
          <w:pgMar w:top="907" w:right="851" w:bottom="907" w:left="851" w:header="709" w:footer="709" w:gutter="0"/>
          <w:cols w:space="708"/>
          <w:docGrid w:linePitch="360"/>
        </w:sectPr>
      </w:pPr>
      <w:r>
        <w:rPr>
          <w:rFonts w:ascii="Arial" w:hAnsi="Arial" w:cs="Arial"/>
          <w:sz w:val="18"/>
        </w:rPr>
        <w:t>Tabla3</w:t>
      </w:r>
      <w:r w:rsidR="003652B1" w:rsidRPr="009C7966">
        <w:rPr>
          <w:rFonts w:ascii="Arial" w:hAnsi="Arial" w:cs="Arial"/>
          <w:b/>
        </w:rPr>
        <w:br w:type="page"/>
      </w:r>
    </w:p>
    <w:p w:rsidR="005A72A3" w:rsidRPr="00982233" w:rsidRDefault="005A72A3" w:rsidP="005A72A3">
      <w:pPr>
        <w:rPr>
          <w:rFonts w:ascii="Arial" w:hAnsi="Arial" w:cs="Arial"/>
          <w:sz w:val="16"/>
        </w:rPr>
      </w:pPr>
    </w:p>
    <w:sectPr w:rsidR="005A72A3" w:rsidRPr="00982233" w:rsidSect="00B23CA9">
      <w:pgSz w:w="15840" w:h="12240" w:orient="landscape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CD"/>
    <w:rsid w:val="000277CD"/>
    <w:rsid w:val="000B0FED"/>
    <w:rsid w:val="000B6107"/>
    <w:rsid w:val="001315EF"/>
    <w:rsid w:val="0017402F"/>
    <w:rsid w:val="001A1D74"/>
    <w:rsid w:val="001D0241"/>
    <w:rsid w:val="00231BFC"/>
    <w:rsid w:val="0025558A"/>
    <w:rsid w:val="002C40E5"/>
    <w:rsid w:val="002D5011"/>
    <w:rsid w:val="00331C6F"/>
    <w:rsid w:val="0033229A"/>
    <w:rsid w:val="003458AF"/>
    <w:rsid w:val="003652B1"/>
    <w:rsid w:val="0037490A"/>
    <w:rsid w:val="003B7F23"/>
    <w:rsid w:val="003F387D"/>
    <w:rsid w:val="00422321"/>
    <w:rsid w:val="0046443A"/>
    <w:rsid w:val="004C36F2"/>
    <w:rsid w:val="005A72A3"/>
    <w:rsid w:val="005F483E"/>
    <w:rsid w:val="00617A1D"/>
    <w:rsid w:val="006A1B8A"/>
    <w:rsid w:val="006D3AB3"/>
    <w:rsid w:val="006D614F"/>
    <w:rsid w:val="006E5803"/>
    <w:rsid w:val="00713D1B"/>
    <w:rsid w:val="00714E0C"/>
    <w:rsid w:val="007445CC"/>
    <w:rsid w:val="007554FC"/>
    <w:rsid w:val="007B22EE"/>
    <w:rsid w:val="007E77E3"/>
    <w:rsid w:val="008631BA"/>
    <w:rsid w:val="00873D69"/>
    <w:rsid w:val="008901ED"/>
    <w:rsid w:val="008B1DA5"/>
    <w:rsid w:val="00916164"/>
    <w:rsid w:val="00982233"/>
    <w:rsid w:val="009C7966"/>
    <w:rsid w:val="00A42CFE"/>
    <w:rsid w:val="00A53E9B"/>
    <w:rsid w:val="00A84BFF"/>
    <w:rsid w:val="00A90A90"/>
    <w:rsid w:val="00B22D7D"/>
    <w:rsid w:val="00B23CA9"/>
    <w:rsid w:val="00B712E3"/>
    <w:rsid w:val="00C05328"/>
    <w:rsid w:val="00C402EC"/>
    <w:rsid w:val="00C43F53"/>
    <w:rsid w:val="00C46D19"/>
    <w:rsid w:val="00D57F9D"/>
    <w:rsid w:val="00DC3B8E"/>
    <w:rsid w:val="00DE7CCD"/>
    <w:rsid w:val="00E113ED"/>
    <w:rsid w:val="00E47EF8"/>
    <w:rsid w:val="00E757C3"/>
    <w:rsid w:val="00EB6023"/>
    <w:rsid w:val="00EC04B5"/>
    <w:rsid w:val="00F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8482-147C-47D9-B6ED-80BA3E8C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27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Leguizamón</dc:creator>
  <cp:keywords/>
  <dc:description/>
  <cp:lastModifiedBy>Oscar Leguizamón</cp:lastModifiedBy>
  <cp:revision>9</cp:revision>
  <dcterms:created xsi:type="dcterms:W3CDTF">2018-10-18T16:41:00Z</dcterms:created>
  <dcterms:modified xsi:type="dcterms:W3CDTF">2018-10-18T16:48:00Z</dcterms:modified>
</cp:coreProperties>
</file>